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9EE6F" w14:textId="54677275" w:rsidR="004F1499" w:rsidRDefault="001D3778">
      <w:pPr>
        <w:pStyle w:val="3"/>
        <w:widowControl/>
        <w:rPr>
          <w:rFonts w:ascii="Times New Roman" w:hAnsi="Times New Roman" w:hint="default"/>
        </w:rPr>
      </w:pPr>
      <w:r>
        <w:rPr>
          <w:rStyle w:val="a5"/>
          <w:rFonts w:ascii="Times New Roman" w:hAnsi="Times New Roman" w:hint="default"/>
          <w:b/>
        </w:rPr>
        <w:t xml:space="preserve">Supplementary Table </w:t>
      </w:r>
      <w:r>
        <w:rPr>
          <w:rStyle w:val="a5"/>
          <w:rFonts w:ascii="Times New Roman" w:hAnsi="Times New Roman" w:hint="default"/>
          <w:b/>
        </w:rPr>
        <w:t>1.</w:t>
      </w:r>
    </w:p>
    <w:tbl>
      <w:tblPr>
        <w:tblStyle w:val="a4"/>
        <w:tblpPr w:leftFromText="180" w:rightFromText="180" w:vertAnchor="page" w:horzAnchor="page" w:tblpX="1807" w:tblpY="2975"/>
        <w:tblOverlap w:val="never"/>
        <w:tblW w:w="8522" w:type="dxa"/>
        <w:tblLook w:val="04A0" w:firstRow="1" w:lastRow="0" w:firstColumn="1" w:lastColumn="0" w:noHBand="0" w:noVBand="1"/>
      </w:tblPr>
      <w:tblGrid>
        <w:gridCol w:w="1894"/>
        <w:gridCol w:w="1654"/>
        <w:gridCol w:w="1654"/>
        <w:gridCol w:w="1645"/>
        <w:gridCol w:w="1675"/>
      </w:tblGrid>
      <w:tr w:rsidR="004F1499" w14:paraId="584FB596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59050F05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Protein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B1C693D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HOXA11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23F7D5E1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ITGB3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4D48E6BE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ITGB1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07B21EBF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ITGB5</w:t>
            </w:r>
          </w:p>
        </w:tc>
      </w:tr>
      <w:tr w:rsidR="004F1499" w14:paraId="3B5082F7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2EAF2828" w14:textId="77777777" w:rsidR="004F1499" w:rsidRDefault="001D3778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DNM1L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79ACEFE1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0.238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3B4898E4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0.210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CCB14BD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0.377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39CF50FF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0.188</w:t>
            </w:r>
          </w:p>
        </w:tc>
      </w:tr>
      <w:tr w:rsidR="004F1499" w14:paraId="466DACE2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0F6276A6" w14:textId="77777777" w:rsidR="004F1499" w:rsidRDefault="001D3778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TXN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4D07D3DE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−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0.235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3896B3A2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0.124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6B8F59F2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0.156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409487CC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0.076</w:t>
            </w:r>
          </w:p>
        </w:tc>
      </w:tr>
      <w:tr w:rsidR="004F1499" w14:paraId="3CEE634C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5D3C39D6" w14:textId="77777777" w:rsidR="004F1499" w:rsidRDefault="001D3778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EIF2AK2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343B2FDA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0.056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487428A6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−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0.277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781EAA6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−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0.334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3733AFD0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−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0.129</w:t>
            </w:r>
          </w:p>
        </w:tc>
      </w:tr>
      <w:tr w:rsidR="004F1499" w14:paraId="784F80D0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65A53AEF" w14:textId="77777777" w:rsidR="004F1499" w:rsidRDefault="001D3778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ADAR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6C40F77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−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0.158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6F23C69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0.171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1ABAA2AB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−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0.269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7D1F292F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0.301</w:t>
            </w:r>
          </w:p>
        </w:tc>
      </w:tr>
      <w:tr w:rsidR="004F1499" w14:paraId="56F80AC3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20A86A86" w14:textId="77777777" w:rsidR="004F1499" w:rsidRDefault="001D3778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CAMK2G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C9E3C45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0.421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E523F69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−</w:t>
            </w: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0.405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463BF3F4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−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0.110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3302FBB8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−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0.065</w:t>
            </w:r>
          </w:p>
        </w:tc>
      </w:tr>
      <w:tr w:rsidR="004F1499" w14:paraId="427EEEE5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3A9B88D7" w14:textId="77777777" w:rsidR="004F1499" w:rsidRDefault="001D3778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CAMK2D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A4E9956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−</w:t>
            </w: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0.568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258E169D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0.282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38846DBD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−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0.187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5366991D" w14:textId="77777777" w:rsidR="004F1499" w:rsidRDefault="001D377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0.275</w:t>
            </w:r>
          </w:p>
        </w:tc>
      </w:tr>
    </w:tbl>
    <w:p w14:paraId="1E4A0433" w14:textId="77777777" w:rsidR="004F1499" w:rsidRDefault="001D3778">
      <w:pPr>
        <w:pStyle w:val="a3"/>
        <w:widowControl/>
        <w:rPr>
          <w:rStyle w:val="a6"/>
          <w:rFonts w:ascii="Times New Roman" w:hAnsi="Times New Roman"/>
          <w:i w:val="0"/>
          <w:iCs/>
        </w:rPr>
      </w:pPr>
      <w:r>
        <w:rPr>
          <w:rStyle w:val="a6"/>
          <w:rFonts w:ascii="Times New Roman" w:hAnsi="Times New Roman"/>
          <w:i w:val="0"/>
          <w:iCs/>
        </w:rPr>
        <w:t>Spearman correlation coefficients (r) between necroptosis-related proteins and endometrial-receptivity-associated proteins in PCOS endometrial sample.</w:t>
      </w:r>
    </w:p>
    <w:p w14:paraId="24BCB5C6" w14:textId="77777777" w:rsidR="004F1499" w:rsidRDefault="001D3778">
      <w:pPr>
        <w:pStyle w:val="a3"/>
        <w:widowControl/>
        <w:rPr>
          <w:rStyle w:val="a6"/>
          <w:rFonts w:ascii="Times New Roman" w:hAnsi="Times New Roman"/>
          <w:i w:val="0"/>
          <w:iCs/>
        </w:rPr>
      </w:pPr>
      <w:r>
        <w:rPr>
          <w:rStyle w:val="a6"/>
          <w:rFonts w:ascii="Times New Roman" w:hAnsi="Times New Roman"/>
          <w:i w:val="0"/>
          <w:iCs/>
        </w:rPr>
        <w:t>Significant correlations (P &lt; 0.05) are in bold.</w:t>
      </w:r>
    </w:p>
    <w:p w14:paraId="19370135" w14:textId="77777777" w:rsidR="004F1499" w:rsidRDefault="004F1499">
      <w:pPr>
        <w:pStyle w:val="3"/>
        <w:widowControl/>
        <w:rPr>
          <w:rStyle w:val="a5"/>
          <w:rFonts w:ascii="Times New Roman" w:hAnsi="Times New Roman" w:hint="default"/>
          <w:b/>
        </w:rPr>
      </w:pPr>
    </w:p>
    <w:p w14:paraId="78ED5C18" w14:textId="77777777" w:rsidR="004F1499" w:rsidRDefault="004F1499">
      <w:pPr>
        <w:pStyle w:val="3"/>
        <w:widowControl/>
        <w:rPr>
          <w:rStyle w:val="a5"/>
          <w:rFonts w:ascii="Times New Roman" w:hAnsi="Times New Roman" w:hint="default"/>
          <w:b/>
        </w:rPr>
      </w:pPr>
    </w:p>
    <w:p w14:paraId="6DDEAA8F" w14:textId="77777777" w:rsidR="004F1499" w:rsidRDefault="004F1499">
      <w:pPr>
        <w:pStyle w:val="3"/>
        <w:widowControl/>
        <w:rPr>
          <w:rStyle w:val="a5"/>
          <w:rFonts w:ascii="Times New Roman" w:hAnsi="Times New Roman" w:hint="default"/>
          <w:b/>
        </w:rPr>
      </w:pPr>
    </w:p>
    <w:p w14:paraId="170793CC" w14:textId="1BA3863A" w:rsidR="004F1499" w:rsidRDefault="001D3778">
      <w:pPr>
        <w:pStyle w:val="3"/>
        <w:widowControl/>
        <w:rPr>
          <w:rFonts w:ascii="Times New Roman" w:hAnsi="Times New Roman" w:hint="default"/>
        </w:rPr>
      </w:pPr>
      <w:r>
        <w:rPr>
          <w:rStyle w:val="a5"/>
          <w:rFonts w:ascii="Times New Roman" w:hAnsi="Times New Roman" w:hint="default"/>
          <w:b/>
        </w:rPr>
        <w:t xml:space="preserve">Supplementary Table </w:t>
      </w:r>
      <w:bookmarkStart w:id="0" w:name="_GoBack"/>
      <w:bookmarkEnd w:id="0"/>
      <w:r>
        <w:rPr>
          <w:rStyle w:val="a5"/>
          <w:rFonts w:ascii="Times New Roman" w:hAnsi="Times New Roman" w:hint="default"/>
          <w:b/>
        </w:rPr>
        <w:t>2.</w:t>
      </w:r>
    </w:p>
    <w:p w14:paraId="0A7F46CD" w14:textId="77777777" w:rsidR="004F1499" w:rsidRDefault="001D3778">
      <w:pPr>
        <w:pStyle w:val="a3"/>
        <w:widowControl/>
        <w:rPr>
          <w:rFonts w:ascii="Times New Roman" w:hAnsi="Times New Roman"/>
          <w:iCs/>
        </w:rPr>
      </w:pPr>
      <w:r>
        <w:rPr>
          <w:rStyle w:val="a6"/>
          <w:rFonts w:ascii="Times New Roman" w:hAnsi="Times New Roman"/>
          <w:i w:val="0"/>
          <w:iCs/>
        </w:rPr>
        <w:t>P-values for Spearman correl</w:t>
      </w:r>
      <w:r>
        <w:rPr>
          <w:rStyle w:val="a6"/>
          <w:rFonts w:ascii="Times New Roman" w:hAnsi="Times New Roman"/>
          <w:i w:val="0"/>
          <w:iCs/>
        </w:rPr>
        <w:t>ations between necroptosis-related proteins and endometrial-receptivity-associated proteins in PCOS endometrial samples.</w:t>
      </w:r>
    </w:p>
    <w:tbl>
      <w:tblPr>
        <w:tblStyle w:val="a4"/>
        <w:tblpPr w:leftFromText="180" w:rightFromText="180" w:vertAnchor="page" w:horzAnchor="page" w:tblpX="1597" w:tblpY="9484"/>
        <w:tblOverlap w:val="never"/>
        <w:tblW w:w="8522" w:type="dxa"/>
        <w:tblLook w:val="04A0" w:firstRow="1" w:lastRow="0" w:firstColumn="1" w:lastColumn="0" w:noHBand="0" w:noVBand="1"/>
      </w:tblPr>
      <w:tblGrid>
        <w:gridCol w:w="1894"/>
        <w:gridCol w:w="1654"/>
        <w:gridCol w:w="1654"/>
        <w:gridCol w:w="1645"/>
        <w:gridCol w:w="1675"/>
      </w:tblGrid>
      <w:tr w:rsidR="004F1499" w14:paraId="1A6AD72B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3C385F12" w14:textId="77777777" w:rsidR="004F1499" w:rsidRDefault="001D3778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Protein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71B1D543" w14:textId="77777777" w:rsidR="004F1499" w:rsidRDefault="001D3778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HOXA11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7821DD9D" w14:textId="77777777" w:rsidR="004F1499" w:rsidRDefault="001D3778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ITGB3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64AD8F51" w14:textId="77777777" w:rsidR="004F1499" w:rsidRDefault="001D3778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ITGB1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4F9AF273" w14:textId="77777777" w:rsidR="004F1499" w:rsidRDefault="001D3778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ITGB5</w:t>
            </w:r>
          </w:p>
        </w:tc>
      </w:tr>
      <w:tr w:rsidR="004F1499" w14:paraId="4F7C7C93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65E9D86A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DNM1L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34CA92CF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0.312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4184F3B6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0.283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4F47A59C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0.049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14D4EB3A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0.357</w:t>
            </w:r>
          </w:p>
        </w:tc>
      </w:tr>
      <w:tr w:rsidR="004F1499" w14:paraId="273AC93E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375D1FBD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TXN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7B254E0C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0.318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45D06F9F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0.511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6936DA29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0.410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0AA585B6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0.700</w:t>
            </w:r>
          </w:p>
        </w:tc>
      </w:tr>
      <w:tr w:rsidR="004F1499" w14:paraId="0D80AF71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681B242D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EIF2AK2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E605DF4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0.816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E607902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0.138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5F40BE1F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0.071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256E44D2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0.511</w:t>
            </w:r>
          </w:p>
        </w:tc>
      </w:tr>
      <w:tr w:rsidR="004F1499" w14:paraId="0DD71177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5FC2E01A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ADAR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CD0DCD4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0.505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BAC83AA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0.383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AE3874F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0.166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35996716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0.127</w:t>
            </w:r>
          </w:p>
        </w:tc>
      </w:tr>
      <w:tr w:rsidR="004F1499" w14:paraId="7C7CA17D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16B8DA85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CAMK2G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4D87500F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0.066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BA8C076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0.030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7C97F0AB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0.567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118BDD50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0.743</w:t>
            </w:r>
          </w:p>
        </w:tc>
      </w:tr>
      <w:tr w:rsidR="004F1499" w14:paraId="2904D4BE" w14:textId="77777777">
        <w:trPr>
          <w:trHeight w:val="338"/>
        </w:trPr>
        <w:tc>
          <w:tcPr>
            <w:tcW w:w="1894" w:type="dxa"/>
            <w:shd w:val="clear" w:color="auto" w:fill="auto"/>
            <w:vAlign w:val="center"/>
          </w:tcPr>
          <w:p w14:paraId="15A54A50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CAMK2D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399044BB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Style w:val="a5"/>
                <w:rFonts w:ascii="Times New Roman" w:eastAsia="宋体" w:hAnsi="Times New Roman" w:cs="Times New Roman"/>
                <w:b w:val="0"/>
                <w:kern w:val="0"/>
                <w:sz w:val="24"/>
                <w:lang w:bidi="ar"/>
              </w:rPr>
              <w:t>0.013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723DB548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0.138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5E2E975F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0.331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5148379F" w14:textId="77777777" w:rsidR="004F1499" w:rsidRDefault="001D377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0.164</w:t>
            </w:r>
          </w:p>
        </w:tc>
      </w:tr>
    </w:tbl>
    <w:p w14:paraId="139BFF35" w14:textId="77777777" w:rsidR="004F1499" w:rsidRDefault="001D3778">
      <w:pPr>
        <w:pStyle w:val="a3"/>
        <w:widowControl/>
        <w:rPr>
          <w:rStyle w:val="a6"/>
          <w:rFonts w:ascii="Times New Roman" w:hAnsi="Times New Roman"/>
          <w:i w:val="0"/>
          <w:iCs/>
        </w:rPr>
      </w:pPr>
      <w:r>
        <w:rPr>
          <w:rFonts w:ascii="Times New Roman" w:eastAsia="宋体" w:hAnsi="Times New Roman"/>
        </w:rPr>
        <w:t>Significant correlations (P &lt; 0.05) are in bold.</w:t>
      </w:r>
    </w:p>
    <w:p w14:paraId="0372D9BE" w14:textId="77777777" w:rsidR="004F1499" w:rsidRDefault="004F1499">
      <w:pPr>
        <w:pStyle w:val="a3"/>
        <w:widowControl/>
        <w:rPr>
          <w:rStyle w:val="a6"/>
          <w:rFonts w:ascii="Times New Roman" w:hAnsi="Times New Roman"/>
          <w:i w:val="0"/>
          <w:iCs/>
        </w:rPr>
      </w:pPr>
    </w:p>
    <w:p w14:paraId="3BAE926B" w14:textId="77777777" w:rsidR="004F1499" w:rsidRDefault="004F1499">
      <w:pPr>
        <w:pStyle w:val="a3"/>
        <w:widowControl/>
        <w:rPr>
          <w:rStyle w:val="a6"/>
          <w:rFonts w:ascii="Times New Roman" w:hAnsi="Times New Roman"/>
          <w:i w:val="0"/>
          <w:iCs/>
        </w:rPr>
      </w:pPr>
    </w:p>
    <w:sectPr w:rsidR="004F14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D1D61" w14:textId="77777777" w:rsidR="001D3778" w:rsidRDefault="001D3778" w:rsidP="00E32A6A">
      <w:r>
        <w:separator/>
      </w:r>
    </w:p>
  </w:endnote>
  <w:endnote w:type="continuationSeparator" w:id="0">
    <w:p w14:paraId="7EB3FCF4" w14:textId="77777777" w:rsidR="001D3778" w:rsidRDefault="001D3778" w:rsidP="00E3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83779" w14:textId="77777777" w:rsidR="001D3778" w:rsidRDefault="001D3778" w:rsidP="00E32A6A">
      <w:r>
        <w:separator/>
      </w:r>
    </w:p>
  </w:footnote>
  <w:footnote w:type="continuationSeparator" w:id="0">
    <w:p w14:paraId="4AB9E1E9" w14:textId="77777777" w:rsidR="001D3778" w:rsidRDefault="001D3778" w:rsidP="00E32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CCB05D6"/>
    <w:rsid w:val="001D3778"/>
    <w:rsid w:val="004F1499"/>
    <w:rsid w:val="00E32A6A"/>
    <w:rsid w:val="28AD37CB"/>
    <w:rsid w:val="7CCB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E71B15B-3B88-4287-87DF-BEFB9AF7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Pr>
      <w:b/>
    </w:rPr>
  </w:style>
  <w:style w:type="character" w:styleId="a6">
    <w:name w:val="Emphasis"/>
    <w:basedOn w:val="a0"/>
    <w:qFormat/>
    <w:rPr>
      <w:i/>
    </w:rPr>
  </w:style>
  <w:style w:type="paragraph" w:styleId="a7">
    <w:name w:val="header"/>
    <w:basedOn w:val="a"/>
    <w:link w:val="a8"/>
    <w:rsid w:val="00E32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E32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E32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E32A6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孙俊</dc:creator>
  <cp:lastModifiedBy>Maggie Si</cp:lastModifiedBy>
  <cp:revision>2</cp:revision>
  <dcterms:created xsi:type="dcterms:W3CDTF">2025-11-09T11:17:00Z</dcterms:created>
  <dcterms:modified xsi:type="dcterms:W3CDTF">2025-11-20T03:21:00Z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A9F8F97A8B6049138F909F133382BED6_11</vt:lpwstr>
  </property>
  <property fmtid="{D5CDD505-2E9C-101B-9397-08002B2CF9AE}" pid="4" name="KSOTemplateDocerSaveRecord">
    <vt:lpwstr>eyJoZGlkIjoiMzU3YzU5OThlMzg0NTJmYjFmODhhZTg5ZTM1M2JjNDkiLCJ1c2VySWQiOiIzODA3NjQwNDgifQ==</vt:lpwstr>
  </property>
</Properties>
</file>